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906"/>
        <w:tblInd w:type="dxa" w:w="-113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1906"/>
      </w:tblGrid>
      <w:tr>
        <w:tc>
          <w:tcPr>
            <w:tcW w:type="dxa" w:w="11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380"/>
              <w:left w:type="dxa" w:w="1134"/>
              <w:bottom w:type="dxa" w:w="260"/>
              <w:right w:type="dxa" w:w="1134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olor w:val="FFFFFF"/>
                <w:sz w:val="34"/>
                <w:szCs w:val="34"/>
              </w:rPr>
              <w:t xml:space="preserve">wholistic</w:t>
            </w:r>
            <w:r>
              <w:rPr>
                <w:rFonts w:ascii="Inter" w:cs="Inter" w:eastAsia="Inter" w:hAnsi="Inter"/>
                <w:b/>
                <w:bCs/>
                <w:color w:val="C0A02C"/>
                <w:sz w:val="34"/>
                <w:szCs w:val="34"/>
              </w:rPr>
              <w:t xml:space="preserve">.</w:t>
            </w:r>
          </w:p>
          <w:p>
            <w:pPr>
              <w:spacing w:after="200" w:before="0"/>
            </w:pPr>
            <w:r>
              <w:rPr>
                <w:rFonts w:ascii="Inter" w:cs="Inter" w:eastAsia="Inter" w:hAnsi="Inter"/>
                <w:color w:val="A9A9A9"/>
                <w:spacing w:val="60"/>
                <w:sz w:val="12"/>
                <w:szCs w:val="12"/>
              </w:rPr>
              <w:t xml:space="preserve">PRIVATE PRACTICE</w:t>
            </w:r>
          </w:p>
          <w:p>
            <w:pPr>
              <w:spacing w:after="120" w:before="0"/>
            </w:pPr>
            <w:r>
              <w:rPr>
                <w:rFonts w:ascii="Inter" w:cs="Inter" w:eastAsia="Inter" w:hAnsi="Inter"/>
                <w:b/>
                <w:bCs/>
                <w:color w:val="C0A02C"/>
                <w:spacing w:val="60"/>
                <w:sz w:val="17"/>
                <w:szCs w:val="17"/>
              </w:rPr>
              <w:t xml:space="preserve">FREE CHEAT SHEET  ·  SOUTH AFRICA</w:t>
            </w:r>
          </w:p>
          <w:p>
            <w:pPr>
              <w:spacing w:after="120" w:before="0" w:line="245" w:lineRule="auto"/>
            </w:pPr>
            <w:r>
              <w:rPr>
                <w:rFonts w:ascii="Inter" w:cs="Inter" w:eastAsia="Inter" w:hAnsi="Inter"/>
                <w:b/>
                <w:bCs/>
                <w:color w:val="E9E9E9"/>
                <w:sz w:val="60"/>
                <w:szCs w:val="60"/>
              </w:rPr>
              <w:t xml:space="preserve">ICD-10 mental health codes</w:t>
            </w:r>
          </w:p>
          <w:p>
            <w:pPr>
              <w:spacing w:after="80" w:before="0"/>
            </w:pPr>
            <w:r>
              <w:rPr>
                <w:rFonts w:ascii="Inter" w:cs="Inter" w:eastAsia="Inter" w:hAnsi="Inter"/>
                <w:i/>
                <w:iCs/>
                <w:color w:val="C0A02C"/>
                <w:sz w:val="24"/>
                <w:szCs w:val="24"/>
              </w:rPr>
              <w:t xml:space="preserve">The codes counsellors and psychologists use most, in plain language.</w:t>
            </w:r>
          </w:p>
        </w:tc>
      </w:tr>
      <w:tr>
        <w:trPr>
          <w:trHeight w:val="110" w:hRule="exact"/>
        </w:trPr>
        <w:tc>
          <w:tcPr>
            <w:tcW w:type="dxa" w:w="11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0A02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0" w:lineRule="exact"/>
            </w:pPr>
          </w:p>
        </w:tc>
      </w:tr>
    </w:tbl>
    <w:p>
      <w:pPr>
        <w:spacing w:after="110" w:before="0"/>
      </w:pPr>
    </w:p>
    <w:p>
      <w:pPr>
        <w:spacing w:after="80" w:before="0" w:line="264" w:lineRule="auto"/>
      </w:pPr>
      <w:r>
        <w:rPr>
          <w:rFonts w:ascii="Inter" w:cs="Inter" w:eastAsia="Inter" w:hAnsi="Inter"/>
          <w:color w:val="1E1E1E"/>
          <w:sz w:val="18"/>
          <w:szCs w:val="18"/>
        </w:rPr>
        <w:t xml:space="preserve">The International Classification of Diseases, 10th Revision (ICD-10) code on a claim tells the medical scheme why the client was seen. Use the most specific code that your assessment supports and your scope of practice allows.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C0A02C" w:sz="24"/>
              <w:bottom w:val="none" w:color="FFFFFF" w:sz="0"/>
              <w:right w:val="none" w:color="FFFFFF" w:sz="0"/>
            </w:tcBorders>
            <w:shd w:fill="F7F3E3" w:color="auto" w:val="clear"/>
            <w:tcMar>
              <w:top w:type="dxa" w:w="120"/>
              <w:left w:type="dxa" w:w="220"/>
              <w:bottom w:type="dxa" w:w="80"/>
              <w:right w:type="dxa" w:w="180"/>
            </w:tcMar>
            <w:vAlign w:val="top"/>
          </w:tcPr>
          <w:p>
            <w:pPr>
              <w:keepNext/>
              <w:spacing w:after="60" w:before="0"/>
            </w:pPr>
            <w:r>
              <w:rPr>
                <w:rFonts w:ascii="Inter" w:cs="Inter" w:eastAsia="Inter" w:hAnsi="Inter"/>
                <w:b/>
                <w:bCs/>
                <w:color w:val="1E1E1E"/>
                <w:sz w:val="21"/>
                <w:szCs w:val="21"/>
              </w:rPr>
              <w:t xml:space="preserve">Which codes can I use?</w:t>
            </w:r>
          </w:p>
          <w:p>
            <w:pPr>
              <w:spacing w:after="30" w:before="0" w:line="264" w:lineRule="auto"/>
            </w:pPr>
            <w:r>
              <w:rPr>
                <w:rFonts w:ascii="Inter" w:cs="Inter" w:eastAsia="Inter" w:hAnsi="Inter"/>
                <w:b/>
                <w:bCs/>
                <w:color w:val="1E1E1E"/>
                <w:sz w:val="17"/>
                <w:szCs w:val="17"/>
              </w:rPr>
              <w:t xml:space="preserve">Registered Counsellors</w:t>
            </w:r>
            <w:r>
              <w:rPr>
                <w:rFonts w:ascii="Inter" w:cs="Inter" w:eastAsia="Inter" w:hAnsi="Inter"/>
                <w:color w:val="1E1E1E"/>
                <w:sz w:val="17"/>
                <w:szCs w:val="17"/>
              </w:rPr>
              <w:t xml:space="preserve"> screen, do basic assessment and offer supportive interventions, but do not diagnose. Use the </w:t>
            </w:r>
            <w:r>
              <w:rPr>
                <w:rFonts w:ascii="Inter" w:cs="Inter" w:eastAsia="Inter" w:hAnsi="Inter"/>
                <w:b/>
                <w:bCs/>
                <w:color w:val="1E1E1E"/>
                <w:sz w:val="17"/>
                <w:szCs w:val="17"/>
              </w:rPr>
              <w:t xml:space="preserve">Z-codes</w:t>
            </w:r>
            <w:r>
              <w:rPr>
                <w:rFonts w:ascii="Inter" w:cs="Inter" w:eastAsia="Inter" w:hAnsi="Inter"/>
                <w:color w:val="1E1E1E"/>
                <w:sz w:val="17"/>
                <w:szCs w:val="17"/>
              </w:rPr>
              <w:t xml:space="preserve"> on this page.</w:t>
            </w:r>
          </w:p>
          <w:p>
            <w:pPr>
              <w:spacing w:after="10" w:before="0" w:line="264" w:lineRule="auto"/>
            </w:pPr>
            <w:r>
              <w:rPr>
                <w:rFonts w:ascii="Inter" w:cs="Inter" w:eastAsia="Inter" w:hAnsi="Inter"/>
                <w:b/>
                <w:bCs/>
                <w:color w:val="1E1E1E"/>
                <w:sz w:val="17"/>
                <w:szCs w:val="17"/>
              </w:rPr>
              <w:t xml:space="preserve">Psychologists</w:t>
            </w:r>
            <w:r>
              <w:rPr>
                <w:rFonts w:ascii="Inter" w:cs="Inter" w:eastAsia="Inter" w:hAnsi="Inter"/>
                <w:color w:val="1E1E1E"/>
                <w:sz w:val="17"/>
                <w:szCs w:val="17"/>
              </w:rPr>
              <w:t xml:space="preserve"> use the Z-codes where they describe the reason for the visit, and the </w:t>
            </w:r>
            <w:r>
              <w:rPr>
                <w:rFonts w:ascii="Inter" w:cs="Inter" w:eastAsia="Inter" w:hAnsi="Inter"/>
                <w:b/>
                <w:bCs/>
                <w:color w:val="1E1E1E"/>
                <w:sz w:val="17"/>
                <w:szCs w:val="17"/>
              </w:rPr>
              <w:t xml:space="preserve">F-codes</w:t>
            </w:r>
            <w:r>
              <w:rPr>
                <w:rFonts w:ascii="Inter" w:cs="Inter" w:eastAsia="Inter" w:hAnsi="Inter"/>
                <w:color w:val="1E1E1E"/>
                <w:sz w:val="17"/>
                <w:szCs w:val="17"/>
              </w:rPr>
              <w:t xml:space="preserve"> on page 2 where they have made a diagnosis.</w:t>
            </w:r>
          </w:p>
        </w:tc>
      </w:tr>
    </w:tbl>
    <w:p>
      <w:pPr>
        <w:pStyle w:val="Heading2"/>
        <w:keepNext/>
        <w:spacing w:after="80" w:before="140"/>
      </w:pPr>
      <w:r>
        <w:rPr>
          <w:rFonts w:ascii="Inter" w:cs="Inter" w:eastAsia="Inter" w:hAnsi="Inter"/>
          <w:b/>
          <w:bCs/>
          <w:color w:val="8A7418"/>
          <w:sz w:val="23"/>
          <w:szCs w:val="23"/>
        </w:rPr>
        <w:t xml:space="preserve">Z-codes: counselling, couples and life circumstances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300"/>
        <w:gridCol w:w="4700"/>
        <w:gridCol w:w="3638"/>
      </w:tblGrid>
      <w:tr>
        <w:trPr>
          <w:cantSplit/>
          <w:tblHeader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80"/>
              <w:left w:type="dxa" w:w="110"/>
              <w:bottom w:type="dxa" w:w="8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4"/>
                <w:szCs w:val="14"/>
              </w:rPr>
              <w:t xml:space="preserve">Code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80"/>
              <w:left w:type="dxa" w:w="110"/>
              <w:bottom w:type="dxa" w:w="8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4"/>
                <w:szCs w:val="14"/>
              </w:rPr>
              <w:t xml:space="preserve">ICD-10 title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80"/>
              <w:left w:type="dxa" w:w="110"/>
              <w:bottom w:type="dxa" w:w="8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4"/>
                <w:szCs w:val="14"/>
              </w:rPr>
              <w:t xml:space="preserve">In plain language</w:t>
            </w:r>
          </w:p>
        </w:tc>
      </w:tr>
      <w:tr>
        <w:trPr>
          <w:cantSplit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Z63.0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Problems in relationship with spouse or partner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Couples, marital and premarital difficulties.</w:t>
            </w:r>
          </w:p>
        </w:tc>
      </w:tr>
      <w:tr>
        <w:trPr>
          <w:cantSplit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Z63.1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Problems in relationship with parents and in-laws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Conflict with parents or in-laws.</w:t>
            </w:r>
          </w:p>
        </w:tc>
      </w:tr>
      <w:tr>
        <w:trPr>
          <w:cantSplit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Z63.4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Disappearance and death of family member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Grief and bereavement after losing a family member.</w:t>
            </w:r>
          </w:p>
        </w:tc>
      </w:tr>
      <w:tr>
        <w:trPr>
          <w:cantSplit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Z63.5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Disruption of family by separation and divorce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Separation and divorce, and how they affect the family.</w:t>
            </w:r>
          </w:p>
        </w:tc>
      </w:tr>
      <w:tr>
        <w:trPr>
          <w:cantSplit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Z63.7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Other stressful life events affecting family and household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Stressful events that affect the whole household.</w:t>
            </w:r>
          </w:p>
        </w:tc>
      </w:tr>
      <w:tr>
        <w:trPr>
          <w:cantSplit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Z63.8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Other specified problems related to primary support group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Other family or couple problems you can name.</w:t>
            </w:r>
          </w:p>
        </w:tc>
      </w:tr>
      <w:tr>
        <w:trPr>
          <w:cantSplit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Z60.0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Problems of adjustment to life-cycle transitions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Adjusting to a major life change.</w:t>
            </w:r>
          </w:p>
        </w:tc>
      </w:tr>
      <w:tr>
        <w:trPr>
          <w:cantSplit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Z56.0 to Z56.7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Problems related to employment and unemployment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Career and work problems, such as job change (Z56.1) or discord with boss and workmates (Z56.4).</w:t>
            </w:r>
          </w:p>
        </w:tc>
      </w:tr>
      <w:tr>
        <w:trPr>
          <w:cantSplit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Z73.0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Burn-out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Exhaustion from work or caring.</w:t>
            </w:r>
          </w:p>
        </w:tc>
      </w:tr>
      <w:tr>
        <w:trPr>
          <w:cantSplit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Z73.3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Stress, not elsewhere classified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General stress with no more specific code.</w:t>
            </w:r>
          </w:p>
        </w:tc>
      </w:tr>
      <w:tr>
        <w:trPr>
          <w:cantSplit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Z73.5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Social role conflict, not elsewhere classified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Conflict between roles, for example work and family.</w:t>
            </w:r>
          </w:p>
        </w:tc>
      </w:tr>
      <w:tr>
        <w:trPr>
          <w:cantSplit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Z65.4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Victim of crime and terrorism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Support after being the victim of a crime.</w:t>
            </w:r>
          </w:p>
        </w:tc>
      </w:tr>
      <w:tr>
        <w:trPr>
          <w:cantSplit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Z70.0 to Z70.9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Counselling related to sexual attitude, behaviour and orientation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Sex and intimacy counselling, for example Z70.8 Other sex counselling.</w:t>
            </w:r>
          </w:p>
        </w:tc>
      </w:tr>
      <w:tr>
        <w:trPr>
          <w:cantSplit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Z71.8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Other specified counselling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Counselling for a clear purpose that no other code covers. Check how each scheme treats it.</w:t>
            </w:r>
          </w:p>
        </w:tc>
      </w:tr>
      <w:tr>
        <w:trPr>
          <w:cantSplit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Z71.9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Counselling, unspecified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The fallback. Use only when no more specific code applies.</w:t>
            </w:r>
          </w:p>
        </w:tc>
      </w:tr>
      <w:tr>
        <w:trPr>
          <w:cantSplit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Z50.4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Psychotherapy, not elsewhere classified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Psychotherapy as the reason for the visit.</w:t>
            </w:r>
          </w:p>
        </w:tc>
      </w:tr>
    </w:tbl>
    <w:p>
      <w:pPr>
        <w:sectPr>
          <w:footerReference w:type="default" r:id="rId7"/>
          <w:pgSz w:w="11906" w:h="16838" w:orient="portrait"/>
          <w:pgMar w:top="700" w:right="1134" w:bottom="800" w:left="1134" w:header="708" w:footer="0" w:gutter="0"/>
          <w:pgNumType/>
          <w:docGrid w:linePitch="360"/>
        </w:sectPr>
      </w:pPr>
    </w:p>
    <w:p>
      <w:pPr>
        <w:pStyle w:val="Heading1"/>
        <w:keepNext/>
        <w:pBdr>
          <w:bottom w:val="single" w:color="C0A02C" w:sz="12" w:space="4"/>
        </w:pBdr>
        <w:spacing w:after="120" w:before="0"/>
      </w:pPr>
      <w:r>
        <w:rPr>
          <w:rFonts w:ascii="Inter" w:cs="Inter" w:eastAsia="Inter" w:hAnsi="Inter"/>
          <w:b/>
          <w:bCs/>
          <w:color w:val="1E1E1E"/>
          <w:sz w:val="30"/>
          <w:szCs w:val="30"/>
        </w:rPr>
        <w:t xml:space="preserve">F-codes: diagnosed mental and behavioural disorders</w:t>
      </w:r>
    </w:p>
    <w:p>
      <w:pPr>
        <w:spacing w:after="20" w:before="0" w:line="264" w:lineRule="auto"/>
      </w:pPr>
      <w:r>
        <w:rPr>
          <w:rFonts w:ascii="Inter" w:cs="Inter" w:eastAsia="Inter" w:hAnsi="Inter"/>
          <w:color w:val="5F5F5F"/>
          <w:sz w:val="17"/>
          <w:szCs w:val="17"/>
        </w:rPr>
        <w:t xml:space="preserve">For psychologists, where a diagnosis has been made. Registered Counsellors do not use these codes.</w:t>
      </w:r>
    </w:p>
    <w:p>
      <w:pPr>
        <w:keepNext/>
        <w:spacing w:after="40" w:before="100"/>
      </w:pPr>
      <w:r>
        <w:rPr>
          <w:rFonts w:ascii="Inter" w:cs="Inter" w:eastAsia="Inter" w:hAnsi="Inter"/>
          <w:b/>
          <w:bCs/>
          <w:color w:val="8A7418"/>
          <w:spacing w:val="40"/>
          <w:sz w:val="16"/>
          <w:szCs w:val="16"/>
        </w:rPr>
        <w:t xml:space="preserve">MOOD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300"/>
        <w:gridCol w:w="4700"/>
        <w:gridCol w:w="3638"/>
      </w:tblGrid>
      <w:tr>
        <w:trPr>
          <w:cantSplit/>
          <w:tblHeader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80"/>
              <w:left w:type="dxa" w:w="110"/>
              <w:bottom w:type="dxa" w:w="8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4"/>
                <w:szCs w:val="14"/>
              </w:rPr>
              <w:t xml:space="preserve">Code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80"/>
              <w:left w:type="dxa" w:w="110"/>
              <w:bottom w:type="dxa" w:w="8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4"/>
                <w:szCs w:val="14"/>
              </w:rPr>
              <w:t xml:space="preserve">ICD-10 title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80"/>
              <w:left w:type="dxa" w:w="110"/>
              <w:bottom w:type="dxa" w:w="8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4"/>
                <w:szCs w:val="14"/>
              </w:rPr>
              <w:t xml:space="preserve">In plain language</w:t>
            </w:r>
          </w:p>
        </w:tc>
      </w:tr>
      <w:tr>
        <w:trPr>
          <w:cantSplit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F31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Bipolar affective disorder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Episodes of mania or hypomania and depression.</w:t>
            </w:r>
          </w:p>
        </w:tc>
      </w:tr>
      <w:tr>
        <w:trPr>
          <w:cantSplit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F32.0 to F32.2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Mild, moderate and severe depressive episode (without psychotic symptoms)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A single depressive episode, graded by severity.</w:t>
            </w:r>
          </w:p>
        </w:tc>
      </w:tr>
      <w:tr>
        <w:trPr>
          <w:cantSplit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F32.9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Depressive episode, unspecified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Use only when severity is not known.</w:t>
            </w:r>
          </w:p>
        </w:tc>
      </w:tr>
      <w:tr>
        <w:trPr>
          <w:cantSplit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F33.0 to F33.9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Recurrent depressive disorder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Repeated depressive episodes. The fourth character shows the current episode.</w:t>
            </w:r>
          </w:p>
        </w:tc>
      </w:tr>
      <w:tr>
        <w:trPr>
          <w:cantSplit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F34.1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Dysthymia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Long-lasting, lower-grade low mood.</w:t>
            </w:r>
          </w:p>
        </w:tc>
      </w:tr>
    </w:tbl>
    <w:p>
      <w:pPr>
        <w:keepNext/>
        <w:spacing w:after="40" w:before="100"/>
      </w:pPr>
      <w:r>
        <w:rPr>
          <w:rFonts w:ascii="Inter" w:cs="Inter" w:eastAsia="Inter" w:hAnsi="Inter"/>
          <w:b/>
          <w:bCs/>
          <w:color w:val="8A7418"/>
          <w:spacing w:val="40"/>
          <w:sz w:val="16"/>
          <w:szCs w:val="16"/>
        </w:rPr>
        <w:t xml:space="preserve">ANXIETY, OBSESSIONS AND STRESS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300"/>
        <w:gridCol w:w="4700"/>
        <w:gridCol w:w="3638"/>
      </w:tblGrid>
      <w:tr>
        <w:trPr>
          <w:cantSplit/>
          <w:tblHeader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80"/>
              <w:left w:type="dxa" w:w="110"/>
              <w:bottom w:type="dxa" w:w="8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4"/>
                <w:szCs w:val="14"/>
              </w:rPr>
              <w:t xml:space="preserve">Code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80"/>
              <w:left w:type="dxa" w:w="110"/>
              <w:bottom w:type="dxa" w:w="8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4"/>
                <w:szCs w:val="14"/>
              </w:rPr>
              <w:t xml:space="preserve">ICD-10 title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80"/>
              <w:left w:type="dxa" w:w="110"/>
              <w:bottom w:type="dxa" w:w="8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4"/>
                <w:szCs w:val="14"/>
              </w:rPr>
              <w:t xml:space="preserve">In plain language</w:t>
            </w:r>
          </w:p>
        </w:tc>
      </w:tr>
      <w:tr>
        <w:trPr>
          <w:cantSplit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F40.1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Social phobias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Fear of social situations.</w:t>
            </w:r>
          </w:p>
        </w:tc>
      </w:tr>
      <w:tr>
        <w:trPr>
          <w:cantSplit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F41.0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Panic disorder [episodic paroxysmal anxiety]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Recurrent panic attacks.</w:t>
            </w:r>
          </w:p>
        </w:tc>
      </w:tr>
      <w:tr>
        <w:trPr>
          <w:cantSplit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F41.1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Generalized anxiety disorder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Persistent, widespread worry.</w:t>
            </w:r>
          </w:p>
        </w:tc>
      </w:tr>
      <w:tr>
        <w:trPr>
          <w:cantSplit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F41.2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Mixed anxiety and depressive disorder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Anxiety and depression together, neither clearly dominant.</w:t>
            </w:r>
          </w:p>
        </w:tc>
      </w:tr>
      <w:tr>
        <w:trPr>
          <w:cantSplit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F42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Obsessive-compulsive disorder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Obsessions or compulsions.</w:t>
            </w:r>
          </w:p>
        </w:tc>
      </w:tr>
      <w:tr>
        <w:trPr>
          <w:cantSplit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F43.0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Acute stress reaction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A short-term reaction to an overwhelming event.</w:t>
            </w:r>
          </w:p>
        </w:tc>
      </w:tr>
      <w:tr>
        <w:trPr>
          <w:cantSplit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F43.1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Post-traumatic stress disorder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Lasting symptoms after a traumatic event.</w:t>
            </w:r>
          </w:p>
        </w:tc>
      </w:tr>
      <w:tr>
        <w:trPr>
          <w:cantSplit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F43.2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Adjustment disorders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Distress after a significant life change.</w:t>
            </w:r>
          </w:p>
        </w:tc>
      </w:tr>
    </w:tbl>
    <w:p>
      <w:pPr>
        <w:keepNext/>
        <w:spacing w:after="40" w:before="100"/>
      </w:pPr>
      <w:r>
        <w:rPr>
          <w:rFonts w:ascii="Inter" w:cs="Inter" w:eastAsia="Inter" w:hAnsi="Inter"/>
          <w:b/>
          <w:bCs/>
          <w:color w:val="8A7418"/>
          <w:spacing w:val="40"/>
          <w:sz w:val="16"/>
          <w:szCs w:val="16"/>
        </w:rPr>
        <w:t xml:space="preserve">EATING, SLEEP, PERSONALITY, DEVELOPMENT AND SUBSTANCES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300"/>
        <w:gridCol w:w="4700"/>
        <w:gridCol w:w="3638"/>
      </w:tblGrid>
      <w:tr>
        <w:trPr>
          <w:cantSplit/>
          <w:tblHeader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80"/>
              <w:left w:type="dxa" w:w="110"/>
              <w:bottom w:type="dxa" w:w="8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4"/>
                <w:szCs w:val="14"/>
              </w:rPr>
              <w:t xml:space="preserve">Code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80"/>
              <w:left w:type="dxa" w:w="110"/>
              <w:bottom w:type="dxa" w:w="8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4"/>
                <w:szCs w:val="14"/>
              </w:rPr>
              <w:t xml:space="preserve">ICD-10 title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80"/>
              <w:left w:type="dxa" w:w="110"/>
              <w:bottom w:type="dxa" w:w="8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4"/>
                <w:szCs w:val="14"/>
              </w:rPr>
              <w:t xml:space="preserve">In plain language</w:t>
            </w:r>
          </w:p>
        </w:tc>
      </w:tr>
      <w:tr>
        <w:trPr>
          <w:cantSplit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F50.0 / F50.2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Anorexia nervosa / Bulimia nervosa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Eating disorders. F50.9 is Eating disorder, unspecified.</w:t>
            </w:r>
          </w:p>
        </w:tc>
      </w:tr>
      <w:tr>
        <w:trPr>
          <w:cantSplit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F51.0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Nonorganic insomnia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Insomnia without a physical cause.</w:t>
            </w:r>
          </w:p>
        </w:tc>
      </w:tr>
      <w:tr>
        <w:trPr>
          <w:cantSplit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F60.3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Emotionally unstable personality disorder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F60.9 is Personality disorder, unspecified.</w:t>
            </w:r>
          </w:p>
        </w:tc>
      </w:tr>
      <w:tr>
        <w:trPr>
          <w:cantSplit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F90.0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Disturbance of activity and attention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Attention deficit and hyperactivity.</w:t>
            </w:r>
          </w:p>
        </w:tc>
      </w:tr>
      <w:tr>
        <w:trPr>
          <w:cantSplit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F84.0 / F84.5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Childhood autism / Asperger's syndrome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Autism spectrum presentations.</w:t>
            </w:r>
          </w:p>
        </w:tc>
      </w:tr>
      <w:tr>
        <w:trPr>
          <w:cantSplit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F10.-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Mental and behavioural disorders due to use of alcohol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Inter" w:cs="Inter" w:eastAsia="Inter" w:hAnsi="Inter"/>
                <w:color w:val="1E1E1E"/>
                <w:sz w:val="16"/>
                <w:szCs w:val="16"/>
              </w:rPr>
              <w:t xml:space="preserve">The fourth character shows the type, for example dependence.</w:t>
            </w:r>
          </w:p>
        </w:tc>
      </w:tr>
    </w:tbl>
    <w:p>
      <w:pPr>
        <w:pStyle w:val="Heading2"/>
        <w:keepNext/>
        <w:spacing w:after="80" w:before="60"/>
      </w:pPr>
      <w:r>
        <w:rPr>
          <w:rFonts w:ascii="Inter" w:cs="Inter" w:eastAsia="Inter" w:hAnsi="Inter"/>
          <w:b/>
          <w:bCs/>
          <w:color w:val="8A7418"/>
          <w:sz w:val="23"/>
          <w:szCs w:val="23"/>
        </w:rPr>
        <w:t xml:space="preserve">Six coding habits</w:t>
      </w:r>
    </w:p>
    <w:p>
      <w:pPr>
        <w:pStyle w:val="ListParagraph"/>
        <w:keepLines/>
        <w:numPr>
          <w:ilvl w:val="0"/>
          <w:numId w:val="2"/>
        </w:numPr>
        <w:spacing w:after="40" w:before="0" w:line="264" w:lineRule="auto"/>
      </w:pPr>
      <w:r>
        <w:rPr>
          <w:rFonts w:ascii="Inter" w:cs="Inter" w:eastAsia="Inter" w:hAnsi="Inter"/>
          <w:b/>
          <w:bCs/>
          <w:color w:val="1E1E1E"/>
          <w:sz w:val="17"/>
          <w:szCs w:val="17"/>
        </w:rPr>
        <w:t xml:space="preserve">Code what you assessed.</w:t>
      </w:r>
      <w:r>
        <w:rPr>
          <w:rFonts w:ascii="Inter" w:cs="Inter" w:eastAsia="Inter" w:hAnsi="Inter"/>
          <w:color w:val="1E1E1E"/>
          <w:sz w:val="17"/>
          <w:szCs w:val="17"/>
        </w:rPr>
        <w:t xml:space="preserve"> The code must be supported by your session notes and sit within your scope of practice.</w:t>
      </w:r>
    </w:p>
    <w:p>
      <w:pPr>
        <w:pStyle w:val="ListParagraph"/>
        <w:keepLines/>
        <w:numPr>
          <w:ilvl w:val="0"/>
          <w:numId w:val="2"/>
        </w:numPr>
        <w:spacing w:after="40" w:before="0" w:line="264" w:lineRule="auto"/>
      </w:pPr>
      <w:r>
        <w:rPr>
          <w:rFonts w:ascii="Inter" w:cs="Inter" w:eastAsia="Inter" w:hAnsi="Inter"/>
          <w:b/>
          <w:bCs/>
          <w:color w:val="1E1E1E"/>
          <w:sz w:val="17"/>
          <w:szCs w:val="17"/>
        </w:rPr>
        <w:t xml:space="preserve">Be specific.</w:t>
      </w:r>
      <w:r>
        <w:rPr>
          <w:rFonts w:ascii="Inter" w:cs="Inter" w:eastAsia="Inter" w:hAnsi="Inter"/>
          <w:color w:val="1E1E1E"/>
          <w:sz w:val="17"/>
          <w:szCs w:val="17"/>
        </w:rPr>
        <w:t xml:space="preserve"> Use a more specific code over an "unspecified" one when your assessment supports it.</w:t>
      </w:r>
    </w:p>
    <w:p>
      <w:pPr>
        <w:pStyle w:val="ListParagraph"/>
        <w:keepLines/>
        <w:numPr>
          <w:ilvl w:val="0"/>
          <w:numId w:val="2"/>
        </w:numPr>
        <w:spacing w:after="40" w:before="0" w:line="264" w:lineRule="auto"/>
      </w:pPr>
      <w:r>
        <w:rPr>
          <w:rFonts w:ascii="Inter" w:cs="Inter" w:eastAsia="Inter" w:hAnsi="Inter"/>
          <w:b/>
          <w:bCs/>
          <w:color w:val="1E1E1E"/>
          <w:sz w:val="17"/>
          <w:szCs w:val="17"/>
        </w:rPr>
        <w:t xml:space="preserve">Expect validation.</w:t>
      </w:r>
      <w:r>
        <w:rPr>
          <w:rFonts w:ascii="Inter" w:cs="Inter" w:eastAsia="Inter" w:hAnsi="Inter"/>
          <w:color w:val="1E1E1E"/>
          <w:sz w:val="17"/>
          <w:szCs w:val="17"/>
        </w:rPr>
        <w:t xml:space="preserve"> Schemes check codes, including age and gender rules. A wrong code can get the claim rejected.</w:t>
      </w:r>
    </w:p>
    <w:p>
      <w:pPr>
        <w:pStyle w:val="ListParagraph"/>
        <w:keepLines/>
        <w:numPr>
          <w:ilvl w:val="0"/>
          <w:numId w:val="2"/>
        </w:numPr>
        <w:spacing w:after="40" w:before="0" w:line="264" w:lineRule="auto"/>
      </w:pPr>
      <w:r>
        <w:rPr>
          <w:rFonts w:ascii="Inter" w:cs="Inter" w:eastAsia="Inter" w:hAnsi="Inter"/>
          <w:b/>
          <w:bCs/>
          <w:color w:val="1E1E1E"/>
          <w:sz w:val="17"/>
          <w:szCs w:val="17"/>
        </w:rPr>
        <w:t xml:space="preserve">Tell clients.</w:t>
      </w:r>
      <w:r>
        <w:rPr>
          <w:rFonts w:ascii="Inter" w:cs="Inter" w:eastAsia="Inter" w:hAnsi="Inter"/>
          <w:color w:val="1E1E1E"/>
          <w:sz w:val="17"/>
          <w:szCs w:val="17"/>
        </w:rPr>
        <w:t xml:space="preserve"> The code goes to the scheme and becomes part of their record. Say so in your consent form.</w:t>
      </w:r>
    </w:p>
    <w:p>
      <w:pPr>
        <w:pStyle w:val="ListParagraph"/>
        <w:keepLines/>
        <w:numPr>
          <w:ilvl w:val="0"/>
          <w:numId w:val="2"/>
        </w:numPr>
        <w:spacing w:after="40" w:before="0" w:line="264" w:lineRule="auto"/>
      </w:pPr>
      <w:r>
        <w:rPr>
          <w:rFonts w:ascii="Inter" w:cs="Inter" w:eastAsia="Inter" w:hAnsi="Inter"/>
          <w:b/>
          <w:bCs/>
          <w:color w:val="1E1E1E"/>
          <w:sz w:val="17"/>
          <w:szCs w:val="17"/>
        </w:rPr>
        <w:t xml:space="preserve">Know the Prescribed Minimum Benefits.</w:t>
      </w:r>
      <w:r>
        <w:rPr>
          <w:rFonts w:ascii="Inter" w:cs="Inter" w:eastAsia="Inter" w:hAnsi="Inter"/>
          <w:color w:val="1E1E1E"/>
          <w:sz w:val="17"/>
          <w:szCs w:val="17"/>
        </w:rPr>
        <w:t xml:space="preserve"> Some conditions, such as major depression and bipolar disorder, must be paid from risk benefits and not the Medical Savings Account. Check the Council for Medical Schemes list.</w:t>
      </w:r>
    </w:p>
    <w:p>
      <w:pPr>
        <w:pStyle w:val="ListParagraph"/>
        <w:keepLines/>
        <w:numPr>
          <w:ilvl w:val="0"/>
          <w:numId w:val="2"/>
        </w:numPr>
        <w:spacing w:after="40" w:before="0" w:line="264" w:lineRule="auto"/>
      </w:pPr>
      <w:r>
        <w:rPr>
          <w:rFonts w:ascii="Inter" w:cs="Inter" w:eastAsia="Inter" w:hAnsi="Inter"/>
          <w:b/>
          <w:bCs/>
          <w:color w:val="1E1E1E"/>
          <w:sz w:val="17"/>
          <w:szCs w:val="17"/>
        </w:rPr>
        <w:t xml:space="preserve">Check and re-check.</w:t>
      </w:r>
      <w:r>
        <w:rPr>
          <w:rFonts w:ascii="Inter" w:cs="Inter" w:eastAsia="Inter" w:hAnsi="Inter"/>
          <w:color w:val="1E1E1E"/>
          <w:sz w:val="17"/>
          <w:szCs w:val="17"/>
        </w:rPr>
        <w:t xml:space="preserve"> Schemes validate against the Master Industry Table. Codes and rules change, so re-check yearly.</w:t>
      </w:r>
    </w:p>
    <w:p>
      <w:pPr>
        <w:spacing w:after="0" w:before="50" w:line="264" w:lineRule="auto"/>
      </w:pPr>
      <w:r>
        <w:rPr>
          <w:rFonts w:ascii="Inter" w:cs="Inter" w:eastAsia="Inter" w:hAnsi="Inter"/>
          <w:i/>
          <w:iCs/>
          <w:color w:val="5F5F5F"/>
          <w:sz w:val="13"/>
          <w:szCs w:val="13"/>
        </w:rPr>
        <w:t xml:space="preserve">Last checked: 2 October 2026. Titles from the World Health Organization ICD-10 (Chapters V and XXI). Scope: Regulations GNR 993 of 2008. Claim rules: Council for Medical Schemes and South African Medical Association guidance. General information only; confirm against the current Master Industry Table and your scheme. Not approved or endorsed by the Health Professions Council of South Africa.</w:t>
      </w:r>
    </w:p>
    <w:p>
      <w:pPr>
        <w:sectPr>
          <w:footerReference w:type="default" r:id="rId8"/>
          <w:pgSz w:w="11906" w:h="16838" w:orient="portrait"/>
          <w:pgMar w:top="700" w:right="1134" w:bottom="800" w:left="1134" w:header="708" w:footer="0" w:gutter="0"/>
          <w:pgNumType/>
          <w:docGrid w:linePitch="360"/>
        </w:sectPr>
      </w:pPr>
    </w:p>
    <w:tbl>
      <w:tblPr>
        <w:tblW w:type="dxa" w:w="1190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1906"/>
      </w:tblGrid>
      <w:tr>
        <w:trPr>
          <w:trHeight w:val="200" w:hRule="exact"/>
        </w:trPr>
        <w:tc>
          <w:tcPr>
            <w:tcW w:type="dxa" w:w="11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0A02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0" w:lineRule="exact"/>
            </w:pPr>
          </w:p>
        </w:tc>
      </w:tr>
      <w:tr>
        <w:trPr>
          <w:trHeight w:val="16518" w:hRule="exact"/>
        </w:trPr>
        <w:tc>
          <w:tcPr>
            <w:tcW w:type="dxa" w:w="11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1500"/>
              <w:left w:type="dxa" w:w="1300"/>
              <w:bottom w:type="dxa" w:w="700"/>
              <w:right w:type="dxa" w:w="13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olor w:val="FFFFFF"/>
                <w:sz w:val="38"/>
                <w:szCs w:val="38"/>
              </w:rPr>
              <w:t xml:space="preserve">wholistic</w:t>
            </w:r>
            <w:r>
              <w:rPr>
                <w:rFonts w:ascii="Inter" w:cs="Inter" w:eastAsia="Inter" w:hAnsi="Inter"/>
                <w:b/>
                <w:bCs/>
                <w:color w:val="C0A02C"/>
                <w:sz w:val="38"/>
                <w:szCs w:val="38"/>
              </w:rPr>
              <w:t xml:space="preserve">.</w:t>
            </w:r>
          </w:p>
          <w:p>
            <w:pPr>
              <w:spacing w:after="900" w:before="0"/>
            </w:pPr>
            <w:r>
              <w:rPr>
                <w:rFonts w:ascii="Inter" w:cs="Inter" w:eastAsia="Inter" w:hAnsi="Inter"/>
                <w:color w:val="A9A9A9"/>
                <w:spacing w:val="60"/>
                <w:sz w:val="12"/>
                <w:szCs w:val="12"/>
              </w:rPr>
              <w:t xml:space="preserve">PRIVATE PRACTICE</w:t>
            </w:r>
          </w:p>
          <w:p>
            <w:pPr>
              <w:spacing w:after="160" w:before="0"/>
            </w:pPr>
            <w:r>
              <w:rPr>
                <w:rFonts w:ascii="Inter" w:cs="Inter" w:eastAsia="Inter" w:hAnsi="Inter"/>
                <w:b/>
                <w:bCs/>
                <w:color w:val="C0A02C"/>
                <w:spacing w:val="60"/>
                <w:sz w:val="17"/>
                <w:szCs w:val="17"/>
              </w:rPr>
              <w:t xml:space="preserve">ICD-10 CODES AND TARIFFS</w:t>
            </w:r>
          </w:p>
          <w:p>
            <w:pPr>
              <w:spacing w:after="40" w:before="0" w:line="240" w:lineRule="auto"/>
            </w:pPr>
            <w:r>
              <w:rPr>
                <w:rFonts w:ascii="Inter" w:cs="Inter" w:eastAsia="Inter" w:hAnsi="Inter"/>
                <w:b/>
                <w:bCs/>
                <w:color w:val="E9E9E9"/>
                <w:sz w:val="64"/>
                <w:szCs w:val="64"/>
              </w:rPr>
              <w:t xml:space="preserve">Tired of doing this manually?</w:t>
            </w:r>
          </w:p>
          <w:p>
            <w:pPr>
              <w:spacing w:after="360" w:before="0" w:line="240" w:lineRule="auto"/>
            </w:pPr>
            <w:r>
              <w:rPr>
                <w:rFonts w:ascii="Inter" w:cs="Inter" w:eastAsia="Inter" w:hAnsi="Inter"/>
                <w:b/>
                <w:bCs/>
                <w:color w:val="E9E9E9"/>
                <w:sz w:val="64"/>
                <w:szCs w:val="64"/>
              </w:rPr>
              <w:t xml:space="preserve">Try </w:t>
            </w:r>
            <w:r>
              <w:rPr>
                <w:rFonts w:ascii="Inter" w:cs="Inter" w:eastAsia="Inter" w:hAnsi="Inter"/>
                <w:b/>
                <w:bCs/>
                <w:i/>
                <w:iCs/>
                <w:color w:val="C0A02C"/>
                <w:sz w:val="64"/>
                <w:szCs w:val="64"/>
              </w:rPr>
              <w:t xml:space="preserve">Wholistic Private Practice</w:t>
            </w:r>
          </w:p>
          <w:p>
            <w:pPr>
              <w:spacing w:after="280" w:before="0" w:line="300" w:lineRule="auto"/>
            </w:pPr>
            <w:r>
              <w:rPr>
                <w:rFonts w:ascii="Inter" w:cs="Inter" w:eastAsia="Inter" w:hAnsi="Inter"/>
                <w:color w:val="D9D9D9"/>
                <w:sz w:val="24"/>
                <w:szCs w:val="24"/>
              </w:rPr>
              <w:t xml:space="preserve">A cheat sheet only goes so far. In </w:t>
            </w:r>
            <w:r>
              <w:rPr>
                <w:rFonts w:ascii="Inter" w:cs="Inter" w:eastAsia="Inter" w:hAnsi="Inter"/>
                <w:b/>
                <w:bCs/>
                <w:color w:val="D9D9D9"/>
                <w:sz w:val="24"/>
                <w:szCs w:val="24"/>
              </w:rPr>
              <w:t xml:space="preserve">Wholistic Private Practice</w:t>
            </w:r>
            <w:r>
              <w:rPr>
                <w:rFonts w:ascii="Inter" w:cs="Inter" w:eastAsia="Inter" w:hAnsi="Inter"/>
                <w:color w:val="D9D9D9"/>
                <w:sz w:val="24"/>
                <w:szCs w:val="24"/>
              </w:rPr>
              <w:t xml:space="preserve">, mental health codes are already grouped the way you actually use them, so you never scroll past tropical diseases to find Z71.9.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110" w:before="0" w:line="280" w:lineRule="auto"/>
            </w:pPr>
            <w:r>
              <w:rPr>
                <w:rFonts w:ascii="Inter" w:cs="Inter" w:eastAsia="Inter" w:hAnsi="Inter"/>
                <w:b/>
                <w:bCs/>
                <w:color w:val="E9E9E9"/>
                <w:sz w:val="22"/>
                <w:szCs w:val="22"/>
              </w:rPr>
              <w:t xml:space="preserve">Searchable ICD-10 codes for mental health practice</w:t>
            </w:r>
            <w:r>
              <w:rPr>
                <w:rFonts w:ascii="Inter" w:cs="Inter" w:eastAsia="Inter" w:hAnsi="Inter"/>
                <w:color w:val="E9E9E9"/>
                <w:sz w:val="22"/>
                <w:szCs w:val="22"/>
              </w:rPr>
              <w:t xml:space="preserve">, organised the way psychologists and Registered Counsellors look for them.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110" w:before="0" w:line="280" w:lineRule="auto"/>
            </w:pPr>
            <w:r>
              <w:rPr>
                <w:rFonts w:ascii="Inter" w:cs="Inter" w:eastAsia="Inter" w:hAnsi="Inter"/>
                <w:b/>
                <w:bCs/>
                <w:color w:val="E9E9E9"/>
                <w:sz w:val="22"/>
                <w:szCs w:val="22"/>
              </w:rPr>
              <w:t xml:space="preserve">Code and tariff picked in the invoice.</w:t>
            </w:r>
            <w:r>
              <w:rPr>
                <w:rFonts w:ascii="Inter" w:cs="Inter" w:eastAsia="Inter" w:hAnsi="Inter"/>
                <w:color w:val="E9E9E9"/>
                <w:sz w:val="22"/>
                <w:szCs w:val="22"/>
              </w:rPr>
              <w:t xml:space="preserve"> Choose the scheme and the tariff, and the invoice fills in the rate, the ICD-10 code and the co-payment split.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110" w:before="0" w:line="280" w:lineRule="auto"/>
            </w:pPr>
            <w:r>
              <w:rPr>
                <w:rFonts w:ascii="Inter" w:cs="Inter" w:eastAsia="Inter" w:hAnsi="Inter"/>
                <w:b/>
                <w:bCs/>
                <w:color w:val="E9E9E9"/>
                <w:sz w:val="22"/>
                <w:szCs w:val="22"/>
              </w:rPr>
              <w:t xml:space="preserve">Rates kept up to date for you</w:t>
            </w:r>
            <w:r>
              <w:rPr>
                <w:rFonts w:ascii="Inter" w:cs="Inter" w:eastAsia="Inter" w:hAnsi="Inter"/>
                <w:color w:val="E9E9E9"/>
                <w:sz w:val="22"/>
                <w:szCs w:val="22"/>
              </w:rPr>
              <w:t xml:space="preserve">, so you are never billing from an old rate sheet.</w:t>
            </w:r>
          </w:p>
          <w:p>
            <w:pPr>
              <w:spacing w:after="220" w:before="0"/>
            </w:pPr>
          </w:p>
          <w:p>
            <w:pPr>
              <w:shd w:fill="C0A02C" w:color="auto" w:val="clear"/>
              <w:spacing w:after="200" w:before="0" w:line="400" w:lineRule="auto"/>
              <w:ind w:right="3200"/>
            </w:pPr>
            <w:hyperlink w:history="1" r:id="rIdi4ou7mvnh1smea1zhe0ye">
              <w:r>
                <w:rPr>
                  <w:rFonts w:ascii="Inter" w:cs="Inter" w:eastAsia="Inter" w:hAnsi="Inter"/>
                  <w:b/>
                  <w:bCs/>
                  <w:color w:val="1E1E1E"/>
                  <w:sz w:val="24"/>
                  <w:szCs w:val="24"/>
                </w:rPr>
                <w:t xml:space="preserve">  See ICD-10 codes and tariffs  →  </w:t>
              </w:r>
            </w:hyperlink>
          </w:p>
          <w:p>
            <w:pPr>
              <w:spacing w:after="420" w:before="0"/>
            </w:pPr>
            <w:r>
              <w:rPr>
                <w:rFonts w:ascii="Inter" w:cs="Inter" w:eastAsia="Inter" w:hAnsi="Inter"/>
                <w:color w:val="A9A9A9"/>
                <w:sz w:val="21"/>
                <w:szCs w:val="21"/>
              </w:rPr>
              <w:t xml:space="preserve">Or visit </w:t>
            </w:r>
            <w:hyperlink w:history="1" r:id="rId0mzepy64b-f6rnttxisor">
              <w:r>
                <w:rPr>
                  <w:rFonts w:ascii="Inter" w:cs="Inter" w:eastAsia="Inter" w:hAnsi="Inter"/>
                  <w:color w:val="C0A02C"/>
                  <w:sz w:val="21"/>
                  <w:szCs w:val="21"/>
                  <w:u w:val="single" w:color="C0A02C"/>
                </w:rPr>
                <w:t xml:space="preserve">wholisticprivatepractice.com</w:t>
              </w:r>
            </w:hyperlink>
          </w:p>
          <w:p>
            <w:pPr>
              <w:pBdr>
                <w:top w:val="single" w:color="4A4A4A" w:sz="6" w:space="12"/>
              </w:pBdr>
              <w:spacing w:after="0" w:before="0"/>
            </w:pPr>
          </w:p>
          <w:p>
            <w:pPr>
              <w:spacing w:after="160" w:before="0" w:line="270" w:lineRule="auto"/>
            </w:pPr>
            <w:r>
              <w:rPr>
                <w:rFonts w:ascii="Inter" w:cs="Inter" w:eastAsia="Inter" w:hAnsi="Inter"/>
                <w:b/>
                <w:bCs/>
                <w:color w:val="D9D9D9"/>
                <w:sz w:val="20"/>
                <w:szCs w:val="20"/>
              </w:rPr>
              <w:t xml:space="preserve">Free for up to 5 active clients.</w:t>
            </w:r>
            <w:r>
              <w:rPr>
                <w:rFonts w:ascii="Inter" w:cs="Inter" w:eastAsia="Inter" w:hAnsi="Inter"/>
                <w:color w:val="D9D9D9"/>
                <w:sz w:val="20"/>
                <w:szCs w:val="20"/>
              </w:rPr>
              <w:t xml:space="preserve"> Join the waiting list to lock in the R39 per month founding rate. No per-claim fees and no percentage of your income.</w:t>
            </w:r>
          </w:p>
          <w:p>
            <w:pPr>
              <w:spacing w:after="0" w:before="0" w:line="260" w:lineRule="auto"/>
            </w:pPr>
            <w:r>
              <w:rPr>
                <w:rFonts w:ascii="Inter" w:cs="Inter" w:eastAsia="Inter" w:hAnsi="Inter"/>
                <w:i/>
                <w:iCs/>
                <w:color w:val="A9A9A9"/>
                <w:sz w:val="19"/>
                <w:szCs w:val="19"/>
              </w:rPr>
              <w:t xml:space="preserve">Built by Sumarie Engelbrecht, a Registered Counsellor in active practice in Mbombela, for South African psychologists and Registered Counsellors.</w:t>
            </w:r>
          </w:p>
        </w:tc>
      </w:tr>
    </w:tbl>
    <w:p>
      <w:pPr>
        <w:spacing w:after="0" w:before="0" w:line="20" w:lineRule="exact"/>
      </w:pPr>
    </w:p>
    <w:sectPr>
      <w:footerReference w:type="default" r:id="rId9"/>
      <w:pgSz w:w="11906" w:h="16838" w:orient="portrait"/>
      <w:pgMar w:top="0" w:right="0" w:bottom="0" w:left="0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1906"/>
      <w:tblInd w:type="dxa" w:w="-1134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8200"/>
      <w:gridCol w:w="3706"/>
    </w:tblGrid>
    <w:tr>
      <w:trPr>
        <w:trHeight w:val="560" w:hRule="exact"/>
      </w:trPr>
      <w:tc>
        <w:tcPr>
          <w:tcW w:type="dxa" w:w="82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1E1E1E" w:color="auto" w:val="clear"/>
          <w:tcMar>
            <w:top w:type="dxa" w:w="0"/>
            <w:left w:type="dxa" w:w="1134"/>
            <w:bottom w:type="dxa" w:w="0"/>
            <w:right w:type="dxa" w:w="0"/>
          </w:tcMar>
          <w:vAlign w:val="center"/>
        </w:tcPr>
        <w:p>
          <w:pPr>
            <w:spacing w:after="0" w:before="0"/>
          </w:pPr>
          <w:r>
            <w:rPr>
              <w:rFonts w:ascii="Inter" w:cs="Inter" w:eastAsia="Inter" w:hAnsi="Inter"/>
              <w:b/>
              <w:bCs/>
              <w:color w:val="FFFFFF"/>
              <w:sz w:val="18"/>
              <w:szCs w:val="18"/>
            </w:rPr>
            <w:t xml:space="preserve">wholistic</w:t>
          </w:r>
          <w:r>
            <w:rPr>
              <w:rFonts w:ascii="Inter" w:cs="Inter" w:eastAsia="Inter" w:hAnsi="Inter"/>
              <w:b/>
              <w:bCs/>
              <w:color w:val="C0A02C"/>
              <w:sz w:val="18"/>
              <w:szCs w:val="18"/>
            </w:rPr>
            <w:t xml:space="preserve">.</w:t>
          </w:r>
          <w:r>
            <w:rPr>
              <w:rFonts w:ascii="Inter" w:cs="Inter" w:eastAsia="Inter" w:hAnsi="Inter"/>
              <w:color w:val="A9A9A9"/>
              <w:sz w:val="16"/>
              <w:szCs w:val="16"/>
            </w:rPr>
            <w:t xml:space="preserve">  private practice   ICD-10 cheat sheet  ·  last checked 2 October 2026</w:t>
          </w:r>
        </w:p>
      </w:tc>
      <w:tc>
        <w:tcPr>
          <w:tcW w:type="dxa" w:w="370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1E1E1E" w:color="auto" w:val="clear"/>
          <w:tcMar>
            <w:top w:type="dxa" w:w="0"/>
            <w:left w:type="dxa" w:w="0"/>
            <w:bottom w:type="dxa" w:w="0"/>
            <w:right w:type="dxa" w:w="1134"/>
          </w:tcMar>
          <w:vAlign w:val="center"/>
        </w:tcPr>
        <w:p>
          <w:pPr>
            <w:spacing w:after="0" w:before="0"/>
            <w:jc w:val="right"/>
          </w:pPr>
          <w:r>
            <w:rPr>
              <w:rFonts w:ascii="Inter" w:cs="Inter" w:eastAsia="Inter" w:hAnsi="Inter"/>
              <w:color w:val="C0A02C"/>
              <w:sz w:val="16"/>
              <w:szCs w:val="16"/>
            </w:rPr>
            <w:t xml:space="preserve">wholisticprivatepractice.com</w:t>
          </w: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1906"/>
      <w:tblInd w:type="dxa" w:w="-1134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8200"/>
      <w:gridCol w:w="3706"/>
    </w:tblGrid>
    <w:tr>
      <w:trPr>
        <w:trHeight w:val="560" w:hRule="exact"/>
      </w:trPr>
      <w:tc>
        <w:tcPr>
          <w:tcW w:type="dxa" w:w="82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1E1E1E" w:color="auto" w:val="clear"/>
          <w:tcMar>
            <w:top w:type="dxa" w:w="0"/>
            <w:left w:type="dxa" w:w="1134"/>
            <w:bottom w:type="dxa" w:w="0"/>
            <w:right w:type="dxa" w:w="0"/>
          </w:tcMar>
          <w:vAlign w:val="center"/>
        </w:tcPr>
        <w:p>
          <w:pPr>
            <w:spacing w:after="0" w:before="0"/>
          </w:pPr>
          <w:r>
            <w:rPr>
              <w:rFonts w:ascii="Inter" w:cs="Inter" w:eastAsia="Inter" w:hAnsi="Inter"/>
              <w:b/>
              <w:bCs/>
              <w:color w:val="FFFFFF"/>
              <w:sz w:val="18"/>
              <w:szCs w:val="18"/>
            </w:rPr>
            <w:t xml:space="preserve">wholistic</w:t>
          </w:r>
          <w:r>
            <w:rPr>
              <w:rFonts w:ascii="Inter" w:cs="Inter" w:eastAsia="Inter" w:hAnsi="Inter"/>
              <w:b/>
              <w:bCs/>
              <w:color w:val="C0A02C"/>
              <w:sz w:val="18"/>
              <w:szCs w:val="18"/>
            </w:rPr>
            <w:t xml:space="preserve">.</w:t>
          </w:r>
          <w:r>
            <w:rPr>
              <w:rFonts w:ascii="Inter" w:cs="Inter" w:eastAsia="Inter" w:hAnsi="Inter"/>
              <w:color w:val="A9A9A9"/>
              <w:sz w:val="16"/>
              <w:szCs w:val="16"/>
            </w:rPr>
            <w:t xml:space="preserve">  private practice   ICD-10 cheat sheet  ·  last checked 2 October 2026</w:t>
          </w:r>
        </w:p>
      </w:tc>
      <w:tc>
        <w:tcPr>
          <w:tcW w:type="dxa" w:w="370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1E1E1E" w:color="auto" w:val="clear"/>
          <w:tcMar>
            <w:top w:type="dxa" w:w="0"/>
            <w:left w:type="dxa" w:w="0"/>
            <w:bottom w:type="dxa" w:w="0"/>
            <w:right w:type="dxa" w:w="1134"/>
          </w:tcMar>
          <w:vAlign w:val="center"/>
        </w:tcPr>
        <w:p>
          <w:pPr>
            <w:spacing w:after="0" w:before="0"/>
            <w:jc w:val="right"/>
          </w:pPr>
          <w:r>
            <w:rPr>
              <w:rFonts w:ascii="Inter" w:cs="Inter" w:eastAsia="Inter" w:hAnsi="Inter"/>
              <w:color w:val="C0A02C"/>
              <w:sz w:val="16"/>
              <w:szCs w:val="16"/>
            </w:rPr>
            <w:t xml:space="preserve">wholisticprivatepractice.com</w:t>
          </w: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0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  <w:rPr>
        <w:color w:val="8A7418"/>
      </w:rPr>
    </w:lvl>
    <w:lvl w:ilvl="1" w15:tentative="1">
      <w:start w:val="1"/>
      <w:numFmt w:val="bullet"/>
      <w:lvlText w:val="–"/>
      <w:lvlJc w:val="left"/>
      <w:pPr>
        <w:ind w:left="76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360" w:hanging="300"/>
      </w:pPr>
      <w:rPr>
        <w:color w:val="C0A02C"/>
        <w:sz w:val="14"/>
        <w:szCs w:val="1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1E1E1E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80"/>
      <w:outlineLvl w:val="0"/>
    </w:pPr>
    <w:rPr>
      <w:rFonts w:ascii="Inter" w:cs="Inter" w:eastAsia="Inter" w:hAnsi="Inter"/>
      <w:b/>
      <w:bCs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80" w:before="220"/>
      <w:outlineLvl w:val="1"/>
    </w:pPr>
    <w:rPr>
      <w:rFonts w:ascii="Inter" w:cs="Inter" w:eastAsia="Inter" w:hAnsi="Inter"/>
      <w:b/>
      <w:bCs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i4ou7mvnh1smea1zhe0ye" Type="http://schemas.openxmlformats.org/officeDocument/2006/relationships/hyperlink" Target="https://www.wholisticprivatepractice.com/features/icd-10-codes-and-tariffs?utm_source=free-download&amp;utm_medium=document&amp;utm_campaign=d03-icd10-cheat-sheet" TargetMode="External"/><Relationship Id="rId0mzepy64b-f6rnttxisor" Type="http://schemas.openxmlformats.org/officeDocument/2006/relationships/hyperlink" Target="https://www.wholisticprivatepractice.com/?utm_source=free-download&amp;utm_medium=document&amp;utm_campaign=d03-icd10-cheat-sheet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ICD-10 mental health codes cheat sheet (South Africa)</dc:title>
  <dc:creator>Wholistic Private Practice</dc:creator>
  <dc:description>Free cheat sheet from Wholistic Private Practice</dc:description>
  <cp:lastModifiedBy>Un-named</cp:lastModifiedBy>
  <cp:revision>1</cp:revision>
  <dcterms:created xsi:type="dcterms:W3CDTF">2026-10-02T10:57:12.975Z</dcterms:created>
  <dcterms:modified xsi:type="dcterms:W3CDTF">2026-10-02T10:57:12.975Z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